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overflowPunct w:val="0"/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spacing w:val="-4"/>
          <w:sz w:val="52"/>
          <w:szCs w:val="52"/>
        </w:rPr>
      </w:pPr>
    </w:p>
    <w:p>
      <w:pPr>
        <w:overflowPunct w:val="0"/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spacing w:val="-4"/>
          <w:sz w:val="52"/>
          <w:szCs w:val="52"/>
        </w:rPr>
      </w:pPr>
    </w:p>
    <w:p>
      <w:pPr>
        <w:overflowPunct w:val="0"/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spacing w:val="-4"/>
          <w:sz w:val="52"/>
          <w:szCs w:val="52"/>
        </w:rPr>
      </w:pPr>
    </w:p>
    <w:p>
      <w:pPr>
        <w:overflowPunct w:val="0"/>
        <w:adjustRightInd w:val="0"/>
        <w:snapToGrid w:val="0"/>
        <w:spacing w:line="576" w:lineRule="exact"/>
        <w:rPr>
          <w:rFonts w:hint="default" w:ascii="Times New Roman" w:hAnsi="Times New Roman" w:eastAsia="方正小标宋简体" w:cs="Times New Roman"/>
          <w:spacing w:val="-4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pacing w:val="-4"/>
          <w:sz w:val="52"/>
          <w:szCs w:val="52"/>
        </w:rPr>
        <w:t xml:space="preserve">                        </w:t>
      </w:r>
    </w:p>
    <w:p>
      <w:pPr>
        <w:overflowPunct w:val="0"/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spacing w:val="-4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pacing w:val="-4"/>
          <w:sz w:val="52"/>
          <w:szCs w:val="52"/>
        </w:rPr>
        <w:t>长春市</w:t>
      </w:r>
      <w:r>
        <w:rPr>
          <w:rFonts w:hint="default" w:ascii="Times New Roman" w:hAnsi="Times New Roman" w:eastAsia="方正小标宋简体" w:cs="Times New Roman"/>
          <w:spacing w:val="-4"/>
          <w:sz w:val="52"/>
          <w:szCs w:val="52"/>
          <w:lang w:val="en-US" w:eastAsia="zh-CN"/>
        </w:rPr>
        <w:t>工业</w:t>
      </w:r>
      <w:r>
        <w:rPr>
          <w:rFonts w:hint="default" w:ascii="Times New Roman" w:hAnsi="Times New Roman" w:eastAsia="方正小标宋简体" w:cs="Times New Roman"/>
          <w:spacing w:val="-4"/>
          <w:sz w:val="52"/>
          <w:szCs w:val="52"/>
        </w:rPr>
        <w:t>企业数字化转型</w:t>
      </w:r>
      <w:r>
        <w:rPr>
          <w:rFonts w:hint="default" w:ascii="Times New Roman" w:hAnsi="Times New Roman" w:eastAsia="方正小标宋简体" w:cs="Times New Roman"/>
          <w:spacing w:val="-4"/>
          <w:sz w:val="52"/>
          <w:szCs w:val="52"/>
          <w:lang w:val="en-US" w:eastAsia="zh-CN"/>
        </w:rPr>
        <w:t>优秀</w:t>
      </w:r>
      <w:r>
        <w:rPr>
          <w:rFonts w:hint="default" w:ascii="Times New Roman" w:hAnsi="Times New Roman" w:eastAsia="方正小标宋简体" w:cs="Times New Roman"/>
          <w:spacing w:val="-4"/>
          <w:sz w:val="52"/>
          <w:szCs w:val="52"/>
        </w:rPr>
        <w:t>服务商</w:t>
      </w:r>
    </w:p>
    <w:p>
      <w:pPr>
        <w:overflowPunct w:val="0"/>
        <w:adjustRightInd w:val="0"/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spacing w:val="-4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pacing w:val="-4"/>
          <w:sz w:val="52"/>
          <w:szCs w:val="52"/>
        </w:rPr>
        <w:t>申报书</w:t>
      </w:r>
    </w:p>
    <w:p>
      <w:pPr>
        <w:autoSpaceDN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N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N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N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N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4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834" w:type="dxa"/>
            <w:vAlign w:val="center"/>
          </w:tcPr>
          <w:p>
            <w:pPr>
              <w:autoSpaceDN w:val="0"/>
              <w:jc w:val="distribut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申报单位（盖章）：</w:t>
            </w:r>
          </w:p>
        </w:tc>
        <w:tc>
          <w:tcPr>
            <w:tcW w:w="4021" w:type="dxa"/>
            <w:vAlign w:val="center"/>
          </w:tcPr>
          <w:p>
            <w:pPr>
              <w:autoSpaceDN w:val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834" w:type="dxa"/>
            <w:vAlign w:val="center"/>
          </w:tcPr>
          <w:p>
            <w:pPr>
              <w:autoSpaceDN w:val="0"/>
              <w:jc w:val="distribut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法定代表人：</w:t>
            </w:r>
          </w:p>
        </w:tc>
        <w:tc>
          <w:tcPr>
            <w:tcW w:w="4021" w:type="dxa"/>
            <w:vAlign w:val="center"/>
          </w:tcPr>
          <w:p>
            <w:pPr>
              <w:autoSpaceDN w:val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834" w:type="dxa"/>
            <w:vAlign w:val="center"/>
          </w:tcPr>
          <w:p>
            <w:pPr>
              <w:autoSpaceDN w:val="0"/>
              <w:jc w:val="distribut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联系人：</w:t>
            </w:r>
          </w:p>
        </w:tc>
        <w:tc>
          <w:tcPr>
            <w:tcW w:w="4021" w:type="dxa"/>
            <w:vAlign w:val="center"/>
          </w:tcPr>
          <w:p>
            <w:pPr>
              <w:autoSpaceDN w:val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834" w:type="dxa"/>
            <w:vAlign w:val="center"/>
          </w:tcPr>
          <w:p>
            <w:pPr>
              <w:autoSpaceDN w:val="0"/>
              <w:jc w:val="distribut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联系电话：</w:t>
            </w:r>
          </w:p>
        </w:tc>
        <w:tc>
          <w:tcPr>
            <w:tcW w:w="4021" w:type="dxa"/>
            <w:vAlign w:val="center"/>
          </w:tcPr>
          <w:p>
            <w:pPr>
              <w:autoSpaceDN w:val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834" w:type="dxa"/>
            <w:vAlign w:val="center"/>
          </w:tcPr>
          <w:p>
            <w:pPr>
              <w:autoSpaceDN w:val="0"/>
              <w:jc w:val="distribut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申报日期：</w:t>
            </w:r>
          </w:p>
        </w:tc>
        <w:tc>
          <w:tcPr>
            <w:tcW w:w="4021" w:type="dxa"/>
            <w:vAlign w:val="center"/>
          </w:tcPr>
          <w:p>
            <w:pPr>
              <w:autoSpaceDN w:val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overflowPunct w:val="0"/>
        <w:adjustRightInd w:val="0"/>
        <w:snapToGrid w:val="0"/>
        <w:spacing w:line="576" w:lineRule="exact"/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overflowPunct w:val="0"/>
        <w:adjustRightInd w:val="0"/>
        <w:snapToGrid w:val="0"/>
        <w:spacing w:after="156" w:afterLines="50"/>
        <w:jc w:val="center"/>
        <w:rPr>
          <w:rFonts w:hint="default" w:ascii="Times New Roman" w:hAnsi="Times New Roman" w:eastAsia="方正小标宋简体" w:cs="Times New Roman"/>
          <w:spacing w:val="-4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-4"/>
          <w:sz w:val="36"/>
          <w:szCs w:val="36"/>
        </w:rPr>
        <w:t>长春市</w:t>
      </w:r>
      <w:r>
        <w:rPr>
          <w:rFonts w:hint="eastAsia" w:ascii="Times New Roman" w:hAnsi="Times New Roman" w:eastAsia="方正小标宋简体" w:cs="Times New Roman"/>
          <w:spacing w:val="-4"/>
          <w:sz w:val="36"/>
          <w:szCs w:val="36"/>
          <w:lang w:val="en-US" w:eastAsia="zh-CN"/>
        </w:rPr>
        <w:t>工业</w:t>
      </w:r>
      <w:r>
        <w:rPr>
          <w:rFonts w:hint="default" w:ascii="Times New Roman" w:hAnsi="Times New Roman" w:eastAsia="方正小标宋简体" w:cs="Times New Roman"/>
          <w:spacing w:val="-4"/>
          <w:sz w:val="36"/>
          <w:szCs w:val="36"/>
        </w:rPr>
        <w:t>企业数字化转型</w:t>
      </w:r>
      <w:r>
        <w:rPr>
          <w:rFonts w:hint="eastAsia" w:ascii="Times New Roman" w:hAnsi="Times New Roman" w:eastAsia="方正小标宋简体" w:cs="Times New Roman"/>
          <w:spacing w:val="-4"/>
          <w:sz w:val="36"/>
          <w:szCs w:val="36"/>
          <w:lang w:val="en-US" w:eastAsia="zh-CN"/>
        </w:rPr>
        <w:t>优秀</w:t>
      </w:r>
      <w:r>
        <w:rPr>
          <w:rFonts w:hint="default" w:ascii="Times New Roman" w:hAnsi="Times New Roman" w:eastAsia="方正小标宋简体" w:cs="Times New Roman"/>
          <w:spacing w:val="-4"/>
          <w:sz w:val="36"/>
          <w:szCs w:val="36"/>
        </w:rPr>
        <w:t>服务商申报书</w:t>
      </w:r>
    </w:p>
    <w:tbl>
      <w:tblPr>
        <w:tblStyle w:val="6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350"/>
        <w:gridCol w:w="1007"/>
        <w:gridCol w:w="114"/>
        <w:gridCol w:w="415"/>
        <w:gridCol w:w="552"/>
        <w:gridCol w:w="571"/>
        <w:gridCol w:w="384"/>
        <w:gridCol w:w="662"/>
        <w:gridCol w:w="993"/>
        <w:gridCol w:w="72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6" w:type="dxa"/>
            <w:gridSpan w:val="12"/>
            <w:shd w:val="clear" w:color="auto" w:fill="B5C7EA" w:themeFill="accent1" w:themeFillTint="66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86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统一社会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779" w:type="dxa"/>
            <w:gridSpan w:val="11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2886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2886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86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886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37" w:type="dxa"/>
            <w:vMerge w:val="restart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营收指标</w:t>
            </w:r>
          </w:p>
        </w:tc>
        <w:tc>
          <w:tcPr>
            <w:tcW w:w="2357" w:type="dxa"/>
            <w:gridSpan w:val="2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2022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年主营业务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收入（万元）</w:t>
            </w:r>
          </w:p>
        </w:tc>
        <w:tc>
          <w:tcPr>
            <w:tcW w:w="2036" w:type="dxa"/>
            <w:gridSpan w:val="5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2023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年主营业务收入（万元）</w:t>
            </w:r>
          </w:p>
        </w:tc>
        <w:tc>
          <w:tcPr>
            <w:tcW w:w="2386" w:type="dxa"/>
            <w:gridSpan w:val="4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2024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年1-5月份主营业务收入（万元）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37" w:type="dxa"/>
            <w:vMerge w:val="continue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shd w:val="clear" w:color="auto" w:fill="FFFFFF" w:themeFill="background1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单位简介</w:t>
            </w:r>
          </w:p>
          <w:p>
            <w:pPr>
              <w:overflowPunct w:val="0"/>
              <w:adjustRightInd w:val="0"/>
              <w:snapToGrid w:val="0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500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字）</w:t>
            </w:r>
          </w:p>
        </w:tc>
        <w:tc>
          <w:tcPr>
            <w:tcW w:w="6779" w:type="dxa"/>
            <w:gridSpan w:val="11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FF0000"/>
                <w:kern w:val="0"/>
                <w:sz w:val="24"/>
                <w:szCs w:val="24"/>
              </w:rPr>
              <w:t>(包括但不限于发展历程、主营业务、主导产品、主营业务收入、员工人数、科技研发等基本情况。）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6" w:type="dxa"/>
            <w:gridSpan w:val="12"/>
            <w:shd w:val="clear" w:color="auto" w:fill="B5C7EA" w:themeFill="accent1" w:themeFillTint="66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中小企业数字化服务能力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可提供的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资源/能力</w:t>
            </w:r>
          </w:p>
        </w:tc>
        <w:tc>
          <w:tcPr>
            <w:tcW w:w="6779" w:type="dxa"/>
            <w:gridSpan w:val="11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咨询服务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平台服务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技术、产品或解决方案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数据分析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数据采集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人才培训          </w:t>
            </w:r>
          </w:p>
          <w:p>
            <w:pPr>
              <w:overflowPunct w:val="0"/>
              <w:adjustRightInd w:val="0"/>
              <w:snapToGrid w:val="0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工控安全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网络服务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5075" w:type="dxa"/>
            <w:gridSpan w:val="6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近三年服务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工业企业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数字化转型数量（家）</w:t>
            </w:r>
          </w:p>
        </w:tc>
        <w:tc>
          <w:tcPr>
            <w:tcW w:w="3341" w:type="dxa"/>
            <w:gridSpan w:val="6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本地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 xml:space="preserve"> /全部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1637" w:type="dxa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主要服务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工业企业案例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2"/>
              </w:rPr>
              <w:t>【说明】</w:t>
            </w:r>
          </w:p>
          <w:p>
            <w:pPr>
              <w:overflowPunct w:val="0"/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2"/>
                <w:lang w:val="en-US" w:eastAsia="zh-CN"/>
              </w:rPr>
              <w:t>服务的客户、实施产品、内容、项目实施后企业在降本、提质、增效的前后对比，最后成效，实施价格，3个案例以上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2"/>
              </w:rPr>
              <w:t>。</w:t>
            </w:r>
          </w:p>
        </w:tc>
        <w:tc>
          <w:tcPr>
            <w:tcW w:w="6779" w:type="dxa"/>
            <w:gridSpan w:val="11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汽车制造业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高端装备制造业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医药制造业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光电信息制造业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农产品加工业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新材料产业：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能源产业：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其他（可自行扩充）：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637" w:type="dxa"/>
            <w:vMerge w:val="restart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细分行业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数字化转型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理解能力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2"/>
              </w:rPr>
              <w:t>【说明】</w:t>
            </w:r>
          </w:p>
          <w:p>
            <w:pPr>
              <w:overflowPunct w:val="0"/>
              <w:adjustRightInd w:val="0"/>
              <w:snapToGrid w:val="0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2"/>
              </w:rPr>
              <w:t>结合上述已勾选行业，分行业阐述对行业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2"/>
                <w:lang w:val="en-US" w:eastAsia="zh-CN"/>
              </w:rPr>
              <w:t>工业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2"/>
              </w:rPr>
              <w:t>企业数字化转型理解，包括但不限于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2"/>
                <w:lang w:val="en-US" w:eastAsia="zh-CN"/>
              </w:rPr>
              <w:t>工业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2"/>
              </w:rPr>
              <w:t>数字化转型共性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2"/>
                <w:lang w:val="en-US" w:eastAsia="zh-CN"/>
              </w:rPr>
              <w:t>问题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2"/>
                <w:lang w:val="en-US" w:eastAsia="zh-CN"/>
              </w:rPr>
              <w:t>迫切需要解决的痛点、针对问题如何帮助企业实施转型、为企业实施转型中遇到什么问题、采取什么办法解决、对这个行业提供的产品优势等，每个行业列举一个最具有代表性的案例，进行举例说明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2"/>
              </w:rPr>
              <w:t>。</w:t>
            </w:r>
          </w:p>
        </w:tc>
        <w:tc>
          <w:tcPr>
            <w:tcW w:w="6772" w:type="dxa"/>
            <w:gridSpan w:val="10"/>
            <w:shd w:val="clear" w:color="auto" w:fill="E7E6E6" w:themeFill="background2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汽车制造业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76" w:hRule="exact"/>
          <w:jc w:val="center"/>
        </w:trPr>
        <w:tc>
          <w:tcPr>
            <w:tcW w:w="1637" w:type="dxa"/>
            <w:vMerge w:val="continue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2" w:type="dxa"/>
            <w:gridSpan w:val="1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637" w:type="dxa"/>
            <w:vMerge w:val="continue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2" w:type="dxa"/>
            <w:gridSpan w:val="10"/>
            <w:shd w:val="clear" w:color="auto" w:fill="E7E6E6" w:themeFill="background2"/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高端装备制造业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53" w:hRule="exact"/>
          <w:jc w:val="center"/>
        </w:trPr>
        <w:tc>
          <w:tcPr>
            <w:tcW w:w="1637" w:type="dxa"/>
            <w:vMerge w:val="continue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2" w:type="dxa"/>
            <w:gridSpan w:val="10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637" w:type="dxa"/>
            <w:vMerge w:val="continue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2" w:type="dxa"/>
            <w:gridSpan w:val="10"/>
            <w:shd w:val="clear" w:color="auto" w:fill="E7E6E6" w:themeFill="background2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34" w:hRule="exact"/>
          <w:jc w:val="center"/>
        </w:trPr>
        <w:tc>
          <w:tcPr>
            <w:tcW w:w="1637" w:type="dxa"/>
            <w:vMerge w:val="continue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2" w:type="dxa"/>
            <w:gridSpan w:val="10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637" w:type="dxa"/>
            <w:vMerge w:val="continue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2" w:type="dxa"/>
            <w:gridSpan w:val="10"/>
            <w:shd w:val="clear" w:color="auto" w:fill="E7E6E6" w:themeFill="background2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光电信息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34" w:hRule="exact"/>
          <w:jc w:val="center"/>
        </w:trPr>
        <w:tc>
          <w:tcPr>
            <w:tcW w:w="1637" w:type="dxa"/>
            <w:vMerge w:val="continue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2" w:type="dxa"/>
            <w:gridSpan w:val="10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8" w:hRule="exact"/>
          <w:jc w:val="center"/>
        </w:trPr>
        <w:tc>
          <w:tcPr>
            <w:tcW w:w="1637" w:type="dxa"/>
            <w:vMerge w:val="continue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2" w:type="dxa"/>
            <w:gridSpan w:val="10"/>
            <w:shd w:val="clear" w:color="auto" w:fill="E7E6E6" w:themeFill="background2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农产品加工业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34" w:hRule="exact"/>
          <w:jc w:val="center"/>
        </w:trPr>
        <w:tc>
          <w:tcPr>
            <w:tcW w:w="1637" w:type="dxa"/>
            <w:vMerge w:val="continue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2" w:type="dxa"/>
            <w:gridSpan w:val="10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91" w:hRule="exact"/>
          <w:jc w:val="center"/>
        </w:trPr>
        <w:tc>
          <w:tcPr>
            <w:tcW w:w="1637" w:type="dxa"/>
            <w:vMerge w:val="continue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2" w:type="dxa"/>
            <w:gridSpan w:val="10"/>
            <w:shd w:val="clear" w:color="auto" w:fill="E7E6E6" w:themeFill="background2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新材料产业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34" w:hRule="exact"/>
          <w:jc w:val="center"/>
        </w:trPr>
        <w:tc>
          <w:tcPr>
            <w:tcW w:w="1637" w:type="dxa"/>
            <w:vMerge w:val="continue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2" w:type="dxa"/>
            <w:gridSpan w:val="10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3" w:hRule="exact"/>
          <w:jc w:val="center"/>
        </w:trPr>
        <w:tc>
          <w:tcPr>
            <w:tcW w:w="1637" w:type="dxa"/>
            <w:vMerge w:val="continue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2" w:type="dxa"/>
            <w:gridSpan w:val="10"/>
            <w:shd w:val="clear" w:color="auto" w:fill="E7E6E6" w:themeFill="background2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能源产业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34" w:hRule="exact"/>
          <w:jc w:val="center"/>
        </w:trPr>
        <w:tc>
          <w:tcPr>
            <w:tcW w:w="1637" w:type="dxa"/>
            <w:vMerge w:val="continue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2" w:type="dxa"/>
            <w:gridSpan w:val="10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9" w:hRule="exact"/>
          <w:jc w:val="center"/>
        </w:trPr>
        <w:tc>
          <w:tcPr>
            <w:tcW w:w="1637" w:type="dxa"/>
            <w:vMerge w:val="continue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2" w:type="dxa"/>
            <w:gridSpan w:val="10"/>
            <w:shd w:val="clear" w:color="auto" w:fill="E7E6E6" w:themeFill="background2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34" w:hRule="exact"/>
          <w:jc w:val="center"/>
        </w:trPr>
        <w:tc>
          <w:tcPr>
            <w:tcW w:w="1637" w:type="dxa"/>
            <w:vMerge w:val="continue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2" w:type="dxa"/>
            <w:gridSpan w:val="10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637" w:type="dxa"/>
            <w:vMerge w:val="restart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“小快轻准”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数字化解决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方案和产品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2"/>
              </w:rPr>
              <w:t>【说明】</w:t>
            </w:r>
          </w:p>
          <w:p>
            <w:pPr>
              <w:overflowPunct w:val="0"/>
              <w:adjustRightInd w:val="0"/>
              <w:snapToGrid w:val="0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2"/>
              </w:rPr>
              <w:t>结合上述已勾选行业，分行业填写 “小快轻准”数字化解决方案和产品内容（如数量多，可复制表格或附页说明）</w:t>
            </w:r>
          </w:p>
        </w:tc>
        <w:tc>
          <w:tcPr>
            <w:tcW w:w="6772" w:type="dxa"/>
            <w:gridSpan w:val="10"/>
            <w:shd w:val="clear" w:color="auto" w:fill="E7E6E6" w:themeFill="background2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69" w:hRule="exact"/>
          <w:jc w:val="center"/>
        </w:trPr>
        <w:tc>
          <w:tcPr>
            <w:tcW w:w="1637" w:type="dxa"/>
            <w:vMerge w:val="continue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21" w:type="dxa"/>
            <w:gridSpan w:val="2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产品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538" w:type="dxa"/>
            <w:gridSpan w:val="3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服务的行业</w:t>
            </w:r>
          </w:p>
        </w:tc>
        <w:tc>
          <w:tcPr>
            <w:tcW w:w="1046" w:type="dxa"/>
            <w:gridSpan w:val="2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解决的痛点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价格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24" w:type="dxa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实施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周期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98" w:hRule="exact"/>
          <w:jc w:val="center"/>
        </w:trPr>
        <w:tc>
          <w:tcPr>
            <w:tcW w:w="1637" w:type="dxa"/>
            <w:vMerge w:val="continue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研发设计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生产制造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质量管理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运营管理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仓储物流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销售服务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其他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1538" w:type="dxa"/>
            <w:gridSpan w:val="3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98" w:hRule="exact"/>
          <w:jc w:val="center"/>
        </w:trPr>
        <w:tc>
          <w:tcPr>
            <w:tcW w:w="1637" w:type="dxa"/>
            <w:vMerge w:val="continue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研发设计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生产制造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质量管理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运营管理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仓储物流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销售服务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其他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1538" w:type="dxa"/>
            <w:gridSpan w:val="3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247" w:hRule="exact"/>
          <w:jc w:val="center"/>
        </w:trPr>
        <w:tc>
          <w:tcPr>
            <w:tcW w:w="1637" w:type="dxa"/>
            <w:vMerge w:val="continue"/>
            <w:shd w:val="clear" w:color="auto" w:fill="E7E6E6" w:themeFill="background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8409" w:type="dxa"/>
            <w:gridSpan w:val="11"/>
            <w:shd w:val="clear" w:color="auto" w:fill="B5C7EA" w:themeFill="accent1" w:themeFillTint="66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370" w:hRule="atLeast"/>
          <w:jc w:val="center"/>
        </w:trPr>
        <w:tc>
          <w:tcPr>
            <w:tcW w:w="8409" w:type="dxa"/>
            <w:gridSpan w:val="11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一、材料真实性承诺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我单位提供的以上内容及所附资料，全部真实、完整、有效。如有虚假，愿承担一切法律责任。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二、“服务商让一点”承诺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我单位承诺以公益方式为中小企业开展数字化转型评估诊断服务。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我单位承诺以市场同类产品和服务价格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%的优惠价向中小企业提供“小轻快准”产品和服务。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                        单位名称：（公章）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                        法定代表人：（签字）</w:t>
            </w:r>
          </w:p>
          <w:p>
            <w:pPr>
              <w:widowControl/>
              <w:spacing w:line="360" w:lineRule="auto"/>
              <w:ind w:firstLine="5520" w:firstLineChars="2300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overflowPunct w:val="0"/>
        <w:adjustRightInd w:val="0"/>
        <w:snapToGrid w:val="0"/>
        <w:spacing w:after="156" w:afterLines="50"/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707" w:firstLineChars="221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en-US"/>
        </w:rPr>
        <w:t>相关佐证材料：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707" w:firstLineChars="221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en-US"/>
        </w:rPr>
        <w:t>申报书中涉及的证明材料，包括但不限于：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firstLine="707" w:firstLineChars="221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  <w14:ligatures w14:val="standardContextual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t>单位营业执照复印件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firstLine="707" w:firstLineChars="221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  <w14:ligatures w14:val="standardContextual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bidi="en-US"/>
        </w:rPr>
        <w:t>2023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t>年度财务审计报告或财务报表。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firstLine="707" w:firstLineChars="221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  <w14:ligatures w14:val="standardContextual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t>服务商自行登录“信用中国”网站下载《信用信息报告》（网址：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instrText xml:space="preserve"> HYPERLINK "https://www.creditchina.gov.cn/home/xybgxzzn/" </w:instrTex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t>https://www.creditchina.gov.cn/home/xybgxzzn/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firstLine="707" w:firstLineChars="221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  <w14:ligatures w14:val="standardContextual"/>
        </w:rPr>
        <w:t>（4）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t>本地服务能力，研发投入、研发投入占营业收入的比重、产品列表、研发人员、实施人员列表及人员社保缴费证明、相关人员资质证书等。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firstLine="707" w:firstLineChars="221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  <w14:ligatures w14:val="standardContextual"/>
        </w:rPr>
        <w:t>（5）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t>申报书内相关案例现场实施照片、实施后现场运行照片等相关证明材料。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firstLine="707" w:firstLineChars="221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  <w14:ligatures w14:val="standardContextual"/>
        </w:rPr>
        <w:t>（6）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en-US"/>
        </w:rPr>
        <w:t>提供专业服务的企业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t>名单列表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en-US"/>
        </w:rPr>
        <w:t>和有关项目服务合同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t>首页和体现项目信息页、发票及验真扫描件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en-US"/>
        </w:rPr>
        <w:t>（或协议）。</w:t>
      </w:r>
    </w:p>
    <w:tbl>
      <w:tblPr>
        <w:tblStyle w:val="6"/>
        <w:tblW w:w="9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vertAlign w:val="baseline"/>
                <w:lang w:val="en-US" w:eastAsia="zh-CN" w:bidi="en-US"/>
              </w:rPr>
              <w:t>序号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vertAlign w:val="baseline"/>
                <w:lang w:val="en-US" w:eastAsia="zh-CN" w:bidi="en-US"/>
              </w:rPr>
              <w:t>项目名称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vertAlign w:val="baseline"/>
                <w:lang w:val="en-US" w:eastAsia="zh-CN" w:bidi="en-US"/>
              </w:rPr>
              <w:t>服务类别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vertAlign w:val="baseline"/>
                <w:lang w:val="en-US" w:eastAsia="zh-CN" w:bidi="en-US"/>
              </w:rPr>
              <w:t>服务行业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vertAlign w:val="baseline"/>
                <w:lang w:val="en-US" w:eastAsia="zh-CN" w:bidi="en-US"/>
              </w:rPr>
              <w:t>应用场景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vertAlign w:val="baseline"/>
                <w:lang w:val="en-US" w:eastAsia="zh-CN" w:bidi="en-US"/>
              </w:rPr>
              <w:t>项目周期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vertAlign w:val="baseline"/>
                <w:lang w:val="en-US" w:eastAsia="zh-CN" w:bidi="en-US"/>
              </w:rPr>
              <w:t>项目金额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vertAlign w:val="baseline"/>
                <w:lang w:val="en-US" w:eastAsia="zh-CN" w:bidi="en-US"/>
              </w:rPr>
              <w:t>客户名称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vertAlign w:val="baseline"/>
                <w:lang w:val="en-US" w:eastAsia="zh-CN" w:bidi="en-US"/>
              </w:rPr>
              <w:t>发票证明及验真在申报书中页码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bidi="en-US"/>
              </w:rPr>
            </w:pPr>
          </w:p>
        </w:tc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bidi="en-US"/>
              </w:rPr>
            </w:pPr>
          </w:p>
        </w:tc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bidi="en-US"/>
              </w:rPr>
            </w:pPr>
          </w:p>
        </w:tc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bidi="en-US"/>
              </w:rPr>
            </w:pPr>
          </w:p>
        </w:tc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bidi="en-US"/>
              </w:rPr>
            </w:pPr>
          </w:p>
        </w:tc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bidi="en-US"/>
              </w:rPr>
            </w:pPr>
          </w:p>
        </w:tc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bidi="en-US"/>
              </w:rPr>
            </w:pPr>
          </w:p>
        </w:tc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bidi="en-US"/>
              </w:rPr>
            </w:pP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bidi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t>（6）其他证明材料：如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en-US"/>
        </w:rPr>
        <w:t>关资质证书、奖励证明、专家推荐意见、用户评价等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小标宋简体" w:cs="Times New Roman"/>
          <w:spacing w:val="-4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1474" w:right="1440" w:bottom="147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pStyle w:val="2"/>
        <w:spacing w:after="0"/>
        <w:jc w:val="center"/>
        <w:rPr>
          <w:rFonts w:hint="default" w:ascii="Times New Roman" w:hAnsi="Times New Roman" w:eastAsia="方正小标宋_GBK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  <w:lang w:bidi="ar"/>
        </w:rPr>
        <w:t>2023年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  <w:lang w:val="en-US" w:eastAsia="zh-CN" w:bidi="ar"/>
        </w:rPr>
        <w:t>长春市工业企业数字化转型优秀服务商汇总表</w:t>
      </w:r>
    </w:p>
    <w:p>
      <w:pPr>
        <w:pStyle w:val="2"/>
        <w:spacing w:after="60"/>
        <w:rPr>
          <w:rFonts w:hint="default" w:ascii="Times New Roman" w:hAnsi="Times New Roman" w:eastAsia="仿宋_GB2312" w:cs="Times New Roman"/>
          <w:highlight w:val="none"/>
        </w:rPr>
      </w:pPr>
    </w:p>
    <w:p>
      <w:pPr>
        <w:pStyle w:val="2"/>
        <w:spacing w:after="60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highlight w:val="none"/>
        </w:rPr>
        <w:t>属地工信主管部门、财政部门（盖章）</w:t>
      </w:r>
    </w:p>
    <w:tbl>
      <w:tblPr>
        <w:tblStyle w:val="6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4"/>
        <w:gridCol w:w="1000"/>
        <w:gridCol w:w="1377"/>
        <w:gridCol w:w="1477"/>
        <w:gridCol w:w="1184"/>
        <w:gridCol w:w="1385"/>
        <w:gridCol w:w="1497"/>
        <w:gridCol w:w="1282"/>
        <w:gridCol w:w="1382"/>
        <w:gridCol w:w="1182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6" w:hRule="atLeast"/>
          <w:jc w:val="center"/>
        </w:trPr>
        <w:tc>
          <w:tcPr>
            <w:tcW w:w="894" w:type="dxa"/>
            <w:vAlign w:val="center"/>
          </w:tcPr>
          <w:p>
            <w:pPr>
              <w:pStyle w:val="2"/>
              <w:spacing w:after="0" w:line="240" w:lineRule="exac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序号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属地</w:t>
            </w:r>
          </w:p>
        </w:tc>
        <w:tc>
          <w:tcPr>
            <w:tcW w:w="1377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企业名称</w:t>
            </w:r>
          </w:p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（200字以内）</w:t>
            </w:r>
          </w:p>
        </w:tc>
        <w:tc>
          <w:tcPr>
            <w:tcW w:w="1477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企业信用代码</w:t>
            </w:r>
          </w:p>
        </w:tc>
        <w:tc>
          <w:tcPr>
            <w:tcW w:w="1184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企业简介</w:t>
            </w:r>
          </w:p>
        </w:tc>
        <w:tc>
          <w:tcPr>
            <w:tcW w:w="1385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研发人员数量</w:t>
            </w:r>
          </w:p>
        </w:tc>
        <w:tc>
          <w:tcPr>
            <w:tcW w:w="1497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从业人员数量</w:t>
            </w:r>
          </w:p>
        </w:tc>
        <w:tc>
          <w:tcPr>
            <w:tcW w:w="1282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服务规上工业企业数量</w:t>
            </w:r>
          </w:p>
        </w:tc>
        <w:tc>
          <w:tcPr>
            <w:tcW w:w="1382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服务企业名称</w:t>
            </w:r>
          </w:p>
        </w:tc>
        <w:tc>
          <w:tcPr>
            <w:tcW w:w="1182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发票号码</w:t>
            </w:r>
          </w:p>
        </w:tc>
        <w:tc>
          <w:tcPr>
            <w:tcW w:w="1388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894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377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385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894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…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377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385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</w:p>
        </w:tc>
      </w:tr>
    </w:tbl>
    <w:p>
      <w:pPr>
        <w:overflowPunct w:val="0"/>
        <w:adjustRightInd w:val="0"/>
        <w:snapToGrid w:val="0"/>
        <w:spacing w:after="156" w:afterLines="50"/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</w:pPr>
    </w:p>
    <w:p/>
    <w:sectPr>
      <w:pgSz w:w="16838" w:h="11906" w:orient="landscape"/>
      <w:pgMar w:top="1531" w:right="1984" w:bottom="1531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28C0F2-36B4-4A7B-94C2-3BD2CD24F7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6C34A10-D4AF-440B-8989-BB8B0038171D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963890F-8FFA-44BD-BC1D-A5A93D4E36C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FAD14E5-FA6A-47EE-B740-CE65FDD457B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CD48B2F-C79A-4C78-A330-9743BE12E1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0E9D7D1-8D28-4426-8A3F-92A98220708E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C6D15896-B457-4743-AB95-F2113AD60EC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A4C4C3A6-6299-4397-86BE-10BAF3FE45B3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9" w:fontKey="{E28B208D-662C-4196-ACE6-3A041B703055}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781079413"/>
      <w:docPartObj>
        <w:docPartGallery w:val="autotext"/>
      </w:docPartObj>
    </w:sdtPr>
    <w:sdtEndPr>
      <w:rPr>
        <w:rStyle w:val="8"/>
      </w:rPr>
    </w:sdtEndPr>
    <w:sdtContent>
      <w:p>
        <w:pPr>
          <w:pStyle w:val="4"/>
          <w:framePr w:wrap="auto" w:vAnchor="text" w:hAnchor="margin" w:xAlign="center" w:y="1"/>
          <w:rPr>
            <w:rStyle w:val="8"/>
          </w:rPr>
        </w:pPr>
        <w:r>
          <w:rPr>
            <w:rStyle w:val="8"/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Style w:val="8"/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Style w:val="8"/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Style w:val="8"/>
            <w:rFonts w:ascii="Times New Roman" w:hAnsi="Times New Roman" w:cs="Times New Roman"/>
            <w:sz w:val="24"/>
            <w:szCs w:val="24"/>
          </w:rPr>
          <w:t>- 5 -</w:t>
        </w:r>
        <w:r>
          <w:rPr>
            <w:rStyle w:val="8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1958168717"/>
      <w:docPartObj>
        <w:docPartGallery w:val="autotext"/>
      </w:docPartObj>
    </w:sdtPr>
    <w:sdtEndPr>
      <w:rPr>
        <w:rStyle w:val="8"/>
      </w:rPr>
    </w:sdtEndPr>
    <w:sdtContent>
      <w:p>
        <w:pPr>
          <w:pStyle w:val="4"/>
          <w:framePr w:wrap="auto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1431582475"/>
      <w:docPartObj>
        <w:docPartGallery w:val="autotext"/>
      </w:docPartObj>
    </w:sdtPr>
    <w:sdtEndPr>
      <w:rPr>
        <w:rStyle w:val="8"/>
      </w:rPr>
    </w:sdtEndPr>
    <w:sdtContent>
      <w:p>
        <w:pPr>
          <w:pStyle w:val="4"/>
          <w:framePr w:wrap="auto" w:vAnchor="text" w:hAnchor="margin" w:xAlign="center" w:y="1"/>
          <w:rPr>
            <w:rStyle w:val="8"/>
          </w:rPr>
        </w:pPr>
        <w:r>
          <w:rPr>
            <w:rStyle w:val="8"/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Style w:val="8"/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Style w:val="8"/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Style w:val="8"/>
            <w:rFonts w:ascii="Times New Roman" w:hAnsi="Times New Roman" w:cs="Times New Roman"/>
            <w:sz w:val="24"/>
            <w:szCs w:val="24"/>
          </w:rPr>
          <w:t>- 10 -</w:t>
        </w:r>
        <w:r>
          <w:rPr>
            <w:rStyle w:val="8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2051758396"/>
      <w:docPartObj>
        <w:docPartGallery w:val="autotext"/>
      </w:docPartObj>
    </w:sdtPr>
    <w:sdtEndPr>
      <w:rPr>
        <w:rStyle w:val="8"/>
      </w:rPr>
    </w:sdtEndPr>
    <w:sdtContent>
      <w:p>
        <w:pPr>
          <w:pStyle w:val="4"/>
          <w:framePr w:wrap="auto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NTI4NGRkMjA1MDVjZjRlZTcxOTdhZDk0YWU0ZjIifQ=="/>
  </w:docVars>
  <w:rsids>
    <w:rsidRoot w:val="7D8F0D40"/>
    <w:rsid w:val="7D8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eastAsia="宋体" w:cs="Times New Roman"/>
      <w:szCs w:val="20"/>
      <w14:ligatures w14:val="none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2024-05-27T01:35:00Z</dcterms:created>
  <dc:creator>AA庄睿</dc:creator>
  <cp:lastModifiedBy>AA庄睿</cp:lastModifiedBy>
  <dcterms:modified xsi:type="dcterms:W3CDTF">2024-05-27T01:36:43Z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0C0406A93093491CB4E65B99375C1921_11</vt:lpwstr>
  </property>
</Properties>
</file>