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jc w:val="center"/>
        <w:textAlignment w:val="auto"/>
        <w:rPr>
          <w:rFonts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长春市关于</w:t>
      </w:r>
      <w:r>
        <w:rPr>
          <w:rFonts w:hint="eastAsia" w:ascii="方正小标宋_GBK" w:eastAsia="方正小标宋_GBK"/>
          <w:color w:val="auto"/>
          <w:sz w:val="44"/>
          <w:szCs w:val="44"/>
        </w:rPr>
        <w:t>推动</w:t>
      </w:r>
      <w:r>
        <w:rPr>
          <w:rFonts w:ascii="方正小标宋_GBK" w:eastAsia="方正小标宋_GBK"/>
          <w:color w:val="auto"/>
          <w:sz w:val="44"/>
          <w:szCs w:val="44"/>
        </w:rPr>
        <w:t>经济稳增长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jc w:val="center"/>
        <w:textAlignment w:val="auto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全力实现</w:t>
      </w:r>
      <w:r>
        <w:rPr>
          <w:rFonts w:ascii="方正小标宋_GBK" w:eastAsia="方正小标宋_GBK"/>
          <w:color w:val="auto"/>
          <w:sz w:val="44"/>
          <w:szCs w:val="44"/>
        </w:rPr>
        <w:t>一季度</w:t>
      </w:r>
      <w:r>
        <w:rPr>
          <w:rFonts w:hint="eastAsia" w:ascii="方正小标宋_GBK" w:eastAsia="方正小标宋_GBK"/>
          <w:color w:val="auto"/>
          <w:sz w:val="44"/>
          <w:szCs w:val="44"/>
        </w:rPr>
        <w:t>“开门红”的</w:t>
      </w:r>
      <w:r>
        <w:rPr>
          <w:rFonts w:ascii="方正小标宋_GBK" w:eastAsia="方正小标宋_GBK"/>
          <w:color w:val="auto"/>
          <w:sz w:val="44"/>
          <w:szCs w:val="44"/>
        </w:rPr>
        <w:t>若干政策措施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实施细则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（工信部分）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880" w:firstLineChars="200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880" w:firstLineChars="200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为贯彻落实《长春市关于推动经济稳增长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全力实现一季度“开门红”的若干政策措施》(以下简称《若干政策》)文件精神，本着“简洁、透明、高效、规范”原则，制定本实施细则。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一、政策条款1：鼓励企业春节期间连续生产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对2024年春节期间连续生产，一季度产值达到5000万元以上且不低于2023年同期产值的规模以上工业企业，按照企业春节期间连续生产天数、加班人数等指标划分3个档位，分别给予10万元、20万元、30万元奖补支持。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lang w:bidi="ar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val="en"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长春市规模以上工业企业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（二）奖励条件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2024年春节期间连续生产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4天以上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且加班人数占总员工人数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50%以上，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一季度产值达到5000万元以上且不低于2023年同期产值的规模以上工业企业。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（三）奖励标准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按照企业春节期间连续生产天数、加班人数等指标划分3个档位，分别给予10万元、20万元、30万元奖补支持。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本条政策奖励总额1000万元以内。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（四）实施程序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通过属地组织开展政策兑现工作，具体时间另行发文通知。兑现工作按照“企业申报、属地推荐、市局审核、专家评审、集体决策、社会公示”等流程开展，具体程序如下：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企业申报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市工信局发布正式通知，由属地工信部门组织企业进行申报。企业按照申报要求，自愿申报，自行组织材料（纸质版2份），上报属地工信部门。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2.属地推荐。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属地工信部门对企业申报材料进行初审，对符合条件的企业择优推荐。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3.市局审核。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市工信局相关业务处室对属地推荐企业进行审核。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4.专家评审。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组织召开专家评审会，对审核通过企业进行评审。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5.集体决策。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结合专家评审意见，确定获得奖励企业名单。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6.社会公示。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通过网络向社会公示获得奖励企业名单，兑现奖补资金。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二、政策条款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：支持重点企业充分释放产能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支持有市场、有订单企业适度增加一季度生产负荷，对2024年一季度产值高于5000万元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且产值增速不低于全市规上工业产值增速的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规模以上工业企业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，按照增速8%以上和10%以上的标准，分别给予10万元、20万元奖补支持。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（一）奖励对象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val="en"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长春市规模以上工业企业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（二）奖励条件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2024年一季度产值高于5000万元，且产值增速不低于全市规上工业产值增速的规模以上工业企业。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（三）奖励标准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按照同比增长8%以上和10%以上的标准，分别给予10万元、20万元奖补支持。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（四）实施程序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采取“免审即享”方式开展政策兑现工作，具体时间另行发文通知。兑现工作按照“企业申报、属地推荐、集体决策、社会公示”等流程开展，具体程序如下：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企业申报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市工信局发布正式通知，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符合条件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的企业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自愿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向属地工信部门提出申请（无需佐证材料）。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2.属地推荐。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属地工信部门协调属地统计部门，逐户核对企业情况，对符合条件的企业择优推荐。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3.集体决策。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市工信局协调市统计局对属地推荐企业进行审核，确定获得奖励企业名单。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4.社会公示。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通过网络向社会公示获得奖励企业名单，兑现奖补资金。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 w:bidi="ar"/>
        </w:rPr>
        <w:t>三、政策条款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 w:bidi="ar"/>
        </w:rPr>
        <w:t>：鼓励工业企业升级进档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持续加强中小工业企业扶持力度，对首次达到规模以上标准的工业企业，每户给予20万元奖励。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加大重点规模以上工业企业培育力度，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对成长性好、市场前景广阔且年产值首次突破1亿元、5亿元、10亿元、50亿元、100亿元的规模以上工业企业，分别给予最高不超过10万元、30万元、50万元、100万元、200万元的奖励。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lang w:bidi="ar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宋体" w:eastAsia="黑体" w:cs="方正仿宋_GBK"/>
          <w:color w:val="auto"/>
          <w:sz w:val="32"/>
          <w:szCs w:val="32"/>
          <w:lang w:val="en"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长春市规模以上工业企业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（二）奖励条件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1.入规奖励：首次达到规模以上标准的工业企业；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2.上台阶奖励：年产值首次突破1亿元、5亿元、10亿元、50亿元、100亿元的规模以上工业企业。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（三）奖励标准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1.入规奖励：每户给予20万元奖励；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2.上台阶奖励：按照年产值首次突破1亿元、5亿元、10亿元、50亿元、100亿元的标准，分别给予最高不超过10万元、30万元、50万元、100万元、200万元的奖励。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（四）实施程序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采取“免审即享”方式开展政策兑现工作，具体时间另行发文通知。兑现工作按照“企业申报、属地推荐、集体决策、社会公示”等流程开展，具体程序如下：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企业申报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市工信局发布正式通知，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符合条件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的企业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bidi="ar"/>
        </w:rPr>
        <w:t>自愿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向属地工信部门提出申请（无需佐证材料）。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2.属地推荐。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属地工信部门协调属地统计部门，逐户核对企业情况，对符合条件的企业择优推荐。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3.集体决策。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市工信局协调市统计局对属地推荐企业进行审核，确定获得奖励企业名单。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4.社会公示。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通过网络向社会公示获得奖励企业名单，兑现奖补资金。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四、政策条款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：加大专精特新企业培育奖补力度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color w:val="auto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lang w:bidi="ar"/>
        </w:rPr>
        <w:t>对2024年首次认定为国家级、省级、市级的“专精特新”中小企业，分别给予50万元、20万元、10万元奖励。对2024年首次获批国家级制造业单项冠军企业、制造业单项冠军产品的，分别给予200万元、100万元奖励。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lang w:bidi="ar"/>
        </w:rPr>
      </w:pPr>
      <w:r>
        <w:rPr>
          <w:rFonts w:hint="eastAsia" w:ascii="楷体" w:hAnsi="楷体" w:eastAsia="楷体" w:cs="楷体"/>
          <w:color w:val="auto"/>
          <w:lang w:eastAsia="zh-CN" w:bidi="ar"/>
        </w:rPr>
        <w:t>（一）</w:t>
      </w:r>
      <w:r>
        <w:rPr>
          <w:rFonts w:hint="eastAsia" w:ascii="楷体" w:hAnsi="楷体" w:eastAsia="楷体" w:cs="楷体"/>
          <w:color w:val="auto"/>
          <w:lang w:bidi="ar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eastAsia="仿宋_GB2312"/>
          <w:color w:val="auto"/>
          <w:lang w:val="en-US" w:eastAsia="zh-CN" w:bidi="ar"/>
        </w:rPr>
      </w:pPr>
      <w:r>
        <w:rPr>
          <w:rFonts w:hint="eastAsia"/>
          <w:color w:val="auto"/>
          <w:lang w:bidi="ar"/>
        </w:rPr>
        <w:t>长春市行政区域内注册的，2</w:t>
      </w:r>
      <w:r>
        <w:rPr>
          <w:color w:val="auto"/>
          <w:lang w:bidi="ar"/>
        </w:rPr>
        <w:t>024</w:t>
      </w:r>
      <w:r>
        <w:rPr>
          <w:rFonts w:hint="eastAsia"/>
          <w:color w:val="auto"/>
          <w:lang w:bidi="ar"/>
        </w:rPr>
        <w:t>年已被国家工信部、省工信厅、市工信局认定为“专精特新”中小企业的企业。</w:t>
      </w:r>
      <w:r>
        <w:rPr>
          <w:rFonts w:hint="eastAsia"/>
          <w:color w:val="auto"/>
          <w:lang w:val="en-US" w:eastAsia="zh-CN" w:bidi="ar"/>
        </w:rPr>
        <w:t>2024年首次获批工信部单项冠军企业、产品的企业。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lang w:eastAsia="zh-CN" w:bidi="ar"/>
        </w:rPr>
      </w:pPr>
      <w:r>
        <w:rPr>
          <w:rFonts w:hint="eastAsia" w:ascii="楷体" w:hAnsi="楷体" w:eastAsia="楷体" w:cs="楷体"/>
          <w:color w:val="auto"/>
          <w:lang w:eastAsia="zh-CN" w:bidi="ar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color w:val="auto"/>
          <w:lang w:bidi="ar"/>
        </w:rPr>
      </w:pPr>
      <w:r>
        <w:rPr>
          <w:rFonts w:hint="eastAsia"/>
          <w:color w:val="auto"/>
          <w:lang w:bidi="ar"/>
        </w:rPr>
        <w:t>对2024年首次认定为国家级、省级、市级的“专精特新”中小企业，分别给予5</w:t>
      </w:r>
      <w:r>
        <w:rPr>
          <w:color w:val="auto"/>
          <w:lang w:bidi="ar"/>
        </w:rPr>
        <w:t>0</w:t>
      </w:r>
      <w:r>
        <w:rPr>
          <w:rFonts w:hint="eastAsia"/>
          <w:color w:val="auto"/>
          <w:lang w:bidi="ar"/>
        </w:rPr>
        <w:t>万元、2</w:t>
      </w:r>
      <w:r>
        <w:rPr>
          <w:color w:val="auto"/>
          <w:lang w:bidi="ar"/>
        </w:rPr>
        <w:t>0</w:t>
      </w:r>
      <w:r>
        <w:rPr>
          <w:rFonts w:hint="eastAsia"/>
          <w:color w:val="auto"/>
          <w:lang w:bidi="ar"/>
        </w:rPr>
        <w:t>万元、1</w:t>
      </w:r>
      <w:r>
        <w:rPr>
          <w:color w:val="auto"/>
          <w:lang w:bidi="ar"/>
        </w:rPr>
        <w:t>0</w:t>
      </w:r>
      <w:r>
        <w:rPr>
          <w:rFonts w:hint="eastAsia"/>
          <w:color w:val="auto"/>
          <w:lang w:bidi="ar"/>
        </w:rPr>
        <w:t>万元奖励。</w:t>
      </w:r>
      <w:r>
        <w:rPr>
          <w:rFonts w:hint="eastAsia" w:ascii="方正仿宋_GBK" w:hAnsi="方正仿宋_GBK" w:eastAsia="方正仿宋_GBK" w:cs="方正仿宋_GBK"/>
          <w:color w:val="auto"/>
          <w:lang w:bidi="ar"/>
        </w:rPr>
        <w:t>对2024年首次获批国家级制造业单项冠军企业、制造业单项冠军产品的，分别给予200万元、100万元奖励。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lang w:eastAsia="zh-CN" w:bidi="ar"/>
        </w:rPr>
      </w:pPr>
      <w:r>
        <w:rPr>
          <w:rFonts w:hint="eastAsia" w:ascii="楷体" w:hAnsi="楷体" w:eastAsia="楷体" w:cs="楷体"/>
          <w:color w:val="auto"/>
          <w:lang w:eastAsia="zh-CN" w:bidi="ar"/>
        </w:rPr>
        <w:t>（三）实施程序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/>
          <w:color w:val="auto"/>
          <w:lang w:bidi="ar"/>
        </w:rPr>
      </w:pPr>
      <w:r>
        <w:rPr>
          <w:rFonts w:hint="eastAsia"/>
          <w:color w:val="auto"/>
          <w:lang w:bidi="ar"/>
        </w:rPr>
        <w:t>奖励项目上线长春市政策服务网上大厅，申报单位按要求在线上填报企业相关信息；如遇特殊情况，亦可采取线下方式申报。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五、政策条款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：全力支持企业“智改数转”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</w:rPr>
        <w:t>统筹1.5亿元专项资金，支持重点工业企业“智改数转”项目建设，完成600户企业的数字化改造升级。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楷体" w:hAnsi="楷体" w:eastAsia="楷体" w:cs="楷体"/>
          <w:color w:val="auto"/>
          <w:spacing w:val="5"/>
          <w:lang w:eastAsia="zh-CN"/>
        </w:rPr>
      </w:pPr>
      <w:r>
        <w:rPr>
          <w:rFonts w:hint="eastAsia" w:ascii="楷体" w:hAnsi="楷体" w:eastAsia="楷体" w:cs="楷体"/>
          <w:color w:val="auto"/>
          <w:spacing w:val="5"/>
          <w:lang w:eastAsia="zh-CN"/>
        </w:rPr>
        <w:t>（一）奖励对象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</w:rPr>
        <w:t>中央财政拨付国家首批中小企业数字化转型试点城市1.5亿中小企业发展专项资金，用于支持汽车零部件配件制造、轨道交通高端装备制造、电子元器件制造、中成药生物药品制品制造等4个细分行业中小企业（重点支持规上中小企业），</w:t>
      </w:r>
      <w:r>
        <w:rPr>
          <w:rFonts w:hint="eastAsia" w:ascii="Times New Roman" w:hAnsi="Times New Roman" w:eastAsia="方正仿宋_GBK" w:cs="方正仿宋_GBK"/>
          <w:color w:val="auto"/>
          <w:kern w:val="0"/>
          <w:lang w:bidi="en-US"/>
        </w:rPr>
        <w:t>进行数字化转型，提升数字化水平。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楷体" w:hAnsi="楷体" w:eastAsia="楷体" w:cs="楷体"/>
          <w:color w:val="auto"/>
          <w:spacing w:val="5"/>
          <w:lang w:eastAsia="zh-CN"/>
        </w:rPr>
      </w:pPr>
      <w:r>
        <w:rPr>
          <w:rFonts w:hint="eastAsia" w:ascii="楷体" w:hAnsi="楷体" w:eastAsia="楷体" w:cs="楷体"/>
          <w:color w:val="auto"/>
          <w:spacing w:val="5"/>
          <w:lang w:eastAsia="zh-CN"/>
        </w:rPr>
        <w:t>（二）奖励条件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</w:rPr>
        <w:t>支持软件、云服务支出，网关、路由等必要的数据采集传输设备支出，咨询诊断等服务支出。企业应注重加强改造深度，着重开展生产制造等相关环节的改造。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楷体" w:hAnsi="楷体" w:eastAsia="楷体" w:cs="楷体"/>
          <w:color w:val="auto"/>
          <w:spacing w:val="5"/>
          <w:lang w:eastAsia="zh-CN"/>
        </w:rPr>
      </w:pPr>
      <w:r>
        <w:rPr>
          <w:rFonts w:hint="eastAsia" w:ascii="楷体" w:hAnsi="楷体" w:eastAsia="楷体" w:cs="楷体"/>
          <w:color w:val="auto"/>
          <w:spacing w:val="5"/>
          <w:lang w:eastAsia="zh-CN"/>
        </w:rPr>
        <w:t>（三）奖励标准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</w:rPr>
        <w:t>按核定改造投入的比例最高不超过</w:t>
      </w:r>
      <w:r>
        <w:rPr>
          <w:rFonts w:ascii="方正仿宋_GBK" w:hAnsi="方正仿宋_GBK" w:eastAsia="方正仿宋_GBK" w:cs="方正仿宋_GBK"/>
          <w:color w:val="auto"/>
          <w:spacing w:val="5"/>
        </w:rPr>
        <w:t>30%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，奖补金额最高不超过</w:t>
      </w:r>
      <w:r>
        <w:rPr>
          <w:rFonts w:ascii="方正仿宋_GBK" w:hAnsi="方正仿宋_GBK" w:eastAsia="方正仿宋_GBK" w:cs="方正仿宋_GBK"/>
          <w:color w:val="auto"/>
          <w:spacing w:val="5"/>
        </w:rPr>
        <w:t>50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万元。生产制造环节数字化改造项目将在此基础上给予更高比例支持。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楷体" w:hAnsi="楷体" w:eastAsia="楷体" w:cs="楷体"/>
          <w:color w:val="auto"/>
          <w:spacing w:val="5"/>
          <w:lang w:eastAsia="zh-CN"/>
        </w:rPr>
      </w:pPr>
      <w:r>
        <w:rPr>
          <w:rFonts w:hint="eastAsia" w:ascii="楷体" w:hAnsi="楷体" w:eastAsia="楷体" w:cs="楷体"/>
          <w:color w:val="auto"/>
          <w:spacing w:val="5"/>
          <w:lang w:eastAsia="zh-CN"/>
        </w:rPr>
        <w:t>（四）实施程序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</w:rPr>
        <w:t>政策兑现按照“组织申报、属地推荐、联合审核、专家评审、集体决策、社会公示”等程序开展。具体程序如下：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组织申报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市工信局发布申报通知，由属地工信部门组织企业进行申报。企业自愿申报，按要求组织材料，上报属地工信部门。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属地推荐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属地工信部门联合财政部门对企业申报材料进行初审，对建设项目进行实地踏查，对符合条件的项目择优推荐。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市局审核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市工信局相关业务处室对属地推荐项目进行审核。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专家评审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市工信局组织召开专家评审会，对审核通过项目进行评审。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集体决策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市工信局结合专家评审意见，对审核通过项目进行审议。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社会公示</w:t>
      </w:r>
      <w:r>
        <w:rPr>
          <w:rFonts w:hint="eastAsia" w:ascii="方正仿宋_GBK" w:hAnsi="方正仿宋_GBK" w:eastAsia="方正仿宋_GBK" w:cs="方正仿宋_GBK"/>
          <w:color w:val="auto"/>
          <w:spacing w:val="5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5"/>
        </w:rPr>
        <w:t>市工信局通过网络向社会公示拟支持项目信息，兑现奖补资金。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六、政策条款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ar"/>
        </w:rPr>
        <w:t>16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：鼓励支持技改项目投资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鼓励存量企业追加投资，加大技术改造力度，对2024年新增固定资产总投资3000万元以上的项目，按设备投资5%给予最高不超过200万元的补助。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（一）奖励对象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长春市工业企业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（二）奖励条件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1.项目投资主体为2024年以前在长春市注册，具有独立法人资格。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2.申报项目为技术改造项目，建设地为长春市域内。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3. 2024年以来新增固定资产总投资额3000万元以上的项目。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（三）奖励标准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设备投资的5%，最高不超过200万元。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 w:bidi="ar"/>
        </w:rPr>
        <w:t>（四）实施程序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政策兑现按照“组织申报、属地推荐、联合审核、专家评审、集体决策、社会公示”等程序开展。具体程序如下：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组织申报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市工信局发布申报通知，由属地工信部门组织企业进行申报。企业自愿申报，按要求组织材料，上报属地工信部门。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属地推荐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属地工信部门联合财政部门对企业申报材料进行初审，对建设项目进行实地踏查，对符合条件的项目择优推荐。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联合审核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市工信局联合市财政局对属地推荐项目进行审核，联合审核通过的项目由申报企业提供专项审计报告。（审计报告在“注册会计师行业统一监管平台”可验证）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专家评审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市工信局组织召开专家评审会，对审核通过项目进行评审。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集体决策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市工信局结合专家评审意见，对审核通过项目进行审议。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社会公示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市工信局通过网络向社会公示拟支持项目信息。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七、政策条款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ar"/>
        </w:rPr>
        <w:t>22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：集中开展助企纾困解难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highlight w:val="none"/>
          <w:lang w:eastAsia="zh-CN"/>
        </w:rPr>
        <w:t>持续深化“万人驻（助）万企”工作机制，依托区属平台公司或委托第三方，对“四上企业”开展财务、法律等专班直达服务。3月底前，集中梳理和研究解决一批市场主体在销售、原材料、用工等生产经营中的突出困难问题。强化重点企业电、油、气、运等各类生产要素保障，确保特殊气候、春节假期等期间不发生断供现象，全力支持企业加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 w:bidi="ar-SA"/>
        </w:rPr>
        <w:t>（一）驻（助）企对象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  <w:t>全市工业、服务业、建筑业、批零住餐业、房地产业的重点企业。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 w:eastAsia="zh-CN" w:bidi="ar-SA"/>
        </w:rPr>
        <w:t>（二）驻（助）企主体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  <w:t>市工信局、市发改委、市建委、市房管局、市商务局等行业管理部门及各县（市）区、开发区。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 w:eastAsia="zh-CN" w:bidi="ar-SA"/>
        </w:rPr>
        <w:t>（三）驻（助）企职责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  <w:t>通过驻（助）企专员对企业进行对接联络、入库入统、政策宣传、困难化解、发展参谋、党建指导、信访维稳、安全生产等方面的服务。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 w:bidi="ar-SA"/>
        </w:rPr>
        <w:t>（四）驻（助）企机制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根据2024年度市政府第1次常务会议“坚持问题导向，发挥‘万人驻（助）万企’作用，深入一线摸清实情，了解问题真相，找准矛盾症结，务实解决问题”的具体要求，持续完善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驻（助）企服务“1+5+17”工作机制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通过四级问题处理、问题清单销号、定期调度推动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，充分发挥各行业管理部门的职能优势和各属地的创新服务，务实高效推进市区两级助（驻）企服务座谈会等驻（助）企载体活动，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  <w:t>针对驻（助）企过程中收集摸排的问题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-SA"/>
        </w:rPr>
        <w:t>市直行管部门及属地要逐个研究、分层分类办理。其中，驻（助）企干部能够解决的，由其直接负责协调解决，不能解决的上报属地；属地能够解决的，由其负责协调解决，不能解决的，上报市直行业管理部门；市直行业管理部门能够解决的，由其负责协调解决，都无法解决的，上报“万人驻（助）万企”行动领导小组办公室统筹解决。对因客观条件限制确无法解决的，由驻（助）企干部向企业作出解释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八、附则</w:t>
      </w:r>
    </w:p>
    <w:p>
      <w:pPr>
        <w:spacing w:line="620" w:lineRule="exact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（一）企业对申报材料的真实性负责，不按程序申报、弄虚作假、编造项目骗取专项资金的企业，一经核实将连续三年取消申报资格；情节严重的，追究相关单位和人员责任。</w:t>
      </w:r>
    </w:p>
    <w:p>
      <w:pPr>
        <w:spacing w:line="620" w:lineRule="exact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  <w:t>属地工信部门对推荐企业的真实性负责，并承担专项资金使用的日常监管责任，配合开展绩效评价和审计等工作。</w:t>
      </w:r>
    </w:p>
    <w:p>
      <w:pPr>
        <w:spacing w:line="620" w:lineRule="exact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（三）申报企业近3年内在质量、安全、环保、统计等方面未发生重大事故，不属于失信被执行人。</w:t>
      </w:r>
    </w:p>
    <w:p>
      <w:pPr>
        <w:spacing w:line="620" w:lineRule="exact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"/>
        </w:rPr>
        <w:t>（四）本实施细则由市工信局会同市财政局负责解释。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zAxMjU0NzYwOWRhNmYxMTk3MmE1NzExOTA2MWEifQ=="/>
  </w:docVars>
  <w:rsids>
    <w:rsidRoot w:val="59B06973"/>
    <w:rsid w:val="59B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2024-02-07T07:45:00Z</dcterms:created>
  <dc:creator>愔愔</dc:creator>
  <cp:lastModifiedBy>愔愔</cp:lastModifiedBy>
  <dcterms:modified xsi:type="dcterms:W3CDTF">2024-02-07T07:48:35Z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C590D129D1724E89BA3F18A66E11293B_11</vt:lpwstr>
  </property>
</Properties>
</file>